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CD" w:rsidRDefault="00A94ED6" w:rsidP="00A94ED6">
      <w:pPr>
        <w:jc w:val="center"/>
        <w:rPr>
          <w:b/>
          <w:sz w:val="44"/>
          <w:szCs w:val="44"/>
        </w:rPr>
      </w:pPr>
      <w:r w:rsidRPr="00A94ED6">
        <w:rPr>
          <w:b/>
          <w:sz w:val="44"/>
          <w:szCs w:val="44"/>
        </w:rPr>
        <w:t xml:space="preserve">ANESTÉSICO MEPISV </w:t>
      </w:r>
      <w:r>
        <w:rPr>
          <w:b/>
          <w:sz w:val="44"/>
          <w:szCs w:val="44"/>
        </w:rPr>
        <w:t>–</w:t>
      </w:r>
      <w:r w:rsidRPr="00A94ED6">
        <w:rPr>
          <w:b/>
          <w:sz w:val="44"/>
          <w:szCs w:val="44"/>
        </w:rPr>
        <w:t xml:space="preserve"> DFL</w:t>
      </w:r>
    </w:p>
    <w:p w:rsidR="00A94ED6" w:rsidRDefault="00A94ED6" w:rsidP="00A94ED6">
      <w:pPr>
        <w:rPr>
          <w:b/>
          <w:sz w:val="44"/>
          <w:szCs w:val="44"/>
        </w:rPr>
      </w:pPr>
    </w:p>
    <w:p w:rsidR="00A94ED6" w:rsidRPr="008F79CE" w:rsidRDefault="00A94ED6" w:rsidP="00A94ED6">
      <w:pPr>
        <w:jc w:val="center"/>
        <w:rPr>
          <w:b/>
          <w:sz w:val="24"/>
          <w:szCs w:val="24"/>
        </w:rPr>
      </w:pPr>
      <w:r w:rsidRPr="008F79CE">
        <w:rPr>
          <w:b/>
          <w:noProof/>
          <w:sz w:val="24"/>
          <w:szCs w:val="24"/>
          <w:lang w:eastAsia="pt-BR"/>
        </w:rPr>
        <w:drawing>
          <wp:inline distT="0" distB="0" distL="0" distR="0" wp14:anchorId="01DEA116" wp14:editId="54D67FC4">
            <wp:extent cx="4248150" cy="2643481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643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ED6" w:rsidRPr="008F79CE" w:rsidRDefault="00A94ED6" w:rsidP="00A94ED6">
      <w:pPr>
        <w:jc w:val="center"/>
        <w:rPr>
          <w:b/>
          <w:sz w:val="24"/>
          <w:szCs w:val="24"/>
        </w:rPr>
      </w:pPr>
    </w:p>
    <w:p w:rsidR="008F79CE" w:rsidRPr="008F79CE" w:rsidRDefault="008F79CE" w:rsidP="008F79CE">
      <w:pPr>
        <w:spacing w:before="120" w:after="120" w:line="240" w:lineRule="auto"/>
        <w:textAlignment w:val="baseline"/>
        <w:outlineLvl w:val="3"/>
        <w:rPr>
          <w:rFonts w:eastAsia="Times New Roman" w:cs="Arial"/>
          <w:b/>
          <w:bCs/>
          <w:sz w:val="24"/>
          <w:szCs w:val="24"/>
          <w:lang w:eastAsia="pt-BR"/>
        </w:rPr>
      </w:pPr>
      <w:r w:rsidRPr="008F79CE">
        <w:rPr>
          <w:rFonts w:eastAsia="Times New Roman" w:cs="Arial"/>
          <w:b/>
          <w:bCs/>
          <w:sz w:val="24"/>
          <w:szCs w:val="24"/>
          <w:lang w:eastAsia="pt-BR"/>
        </w:rPr>
        <w:t>Descrição do produto</w:t>
      </w:r>
    </w:p>
    <w:p w:rsidR="008F79CE" w:rsidRPr="008F79CE" w:rsidRDefault="008F79CE" w:rsidP="008F79CE">
      <w:pPr>
        <w:spacing w:after="0" w:line="240" w:lineRule="auto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 xml:space="preserve">Anestésico local injetável, com cada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mL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contendo 30mg de Cloridrato de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Mepivacaína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(54mg/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carpule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), </w:t>
      </w:r>
      <w:proofErr w:type="gramStart"/>
      <w:r w:rsidRPr="008F79CE">
        <w:rPr>
          <w:rFonts w:eastAsia="Times New Roman" w:cs="Arial"/>
          <w:sz w:val="24"/>
          <w:szCs w:val="24"/>
          <w:lang w:eastAsia="pt-BR"/>
        </w:rPr>
        <w:t>isento</w:t>
      </w:r>
      <w:proofErr w:type="gramEnd"/>
      <w:r w:rsidRPr="008F79CE">
        <w:rPr>
          <w:rFonts w:eastAsia="Times New Roman" w:cs="Arial"/>
          <w:sz w:val="24"/>
          <w:szCs w:val="24"/>
          <w:lang w:eastAsia="pt-BR"/>
        </w:rPr>
        <w:t xml:space="preserve"> de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Metilparabeno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e sulfitos, envasado em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de vidro com êmbolos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siliconizados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>.</w:t>
      </w:r>
    </w:p>
    <w:p w:rsidR="008F79CE" w:rsidRPr="008F79CE" w:rsidRDefault="008F79CE" w:rsidP="008F79CE">
      <w:pPr>
        <w:spacing w:after="0" w:line="240" w:lineRule="auto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 xml:space="preserve">Apresentação: cartucho com 50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de vidro, acondicionados em blisters lacrados com 10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cada - 1,8 ml/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tubete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- MS nº: </w:t>
      </w:r>
      <w:proofErr w:type="gramStart"/>
      <w:r w:rsidRPr="008F79CE">
        <w:rPr>
          <w:rFonts w:eastAsia="Times New Roman" w:cs="Arial"/>
          <w:sz w:val="24"/>
          <w:szCs w:val="24"/>
          <w:lang w:eastAsia="pt-BR"/>
        </w:rPr>
        <w:t>101770030</w:t>
      </w:r>
      <w:proofErr w:type="gramEnd"/>
    </w:p>
    <w:p w:rsidR="00A94ED6" w:rsidRPr="008F79CE" w:rsidRDefault="00A94ED6" w:rsidP="00A94ED6">
      <w:pPr>
        <w:rPr>
          <w:b/>
          <w:sz w:val="24"/>
          <w:szCs w:val="24"/>
        </w:rPr>
      </w:pPr>
    </w:p>
    <w:p w:rsidR="008F79CE" w:rsidRPr="008F79CE" w:rsidRDefault="008F79CE" w:rsidP="008F79CE">
      <w:pPr>
        <w:pStyle w:val="Ttulo4"/>
        <w:spacing w:before="120" w:beforeAutospacing="0" w:after="120" w:afterAutospacing="0"/>
        <w:textAlignment w:val="baseline"/>
        <w:rPr>
          <w:rFonts w:asciiTheme="minorHAnsi" w:hAnsiTheme="minorHAnsi" w:cs="Arial"/>
        </w:rPr>
      </w:pPr>
      <w:r w:rsidRPr="008F79CE">
        <w:rPr>
          <w:rFonts w:asciiTheme="minorHAnsi" w:hAnsiTheme="minorHAnsi" w:cs="Arial"/>
        </w:rPr>
        <w:t>Indicações</w:t>
      </w:r>
      <w:bookmarkStart w:id="0" w:name="_GoBack"/>
      <w:bookmarkEnd w:id="0"/>
    </w:p>
    <w:p w:rsidR="008F79CE" w:rsidRPr="008F79CE" w:rsidRDefault="008F79CE" w:rsidP="008F79CE">
      <w:pPr>
        <w:numPr>
          <w:ilvl w:val="0"/>
          <w:numId w:val="1"/>
        </w:numPr>
        <w:spacing w:before="60" w:after="60" w:line="240" w:lineRule="auto"/>
        <w:ind w:left="240"/>
        <w:textAlignment w:val="baseline"/>
        <w:rPr>
          <w:rFonts w:cs="Arial"/>
          <w:sz w:val="24"/>
          <w:szCs w:val="24"/>
        </w:rPr>
      </w:pPr>
      <w:r w:rsidRPr="008F79CE">
        <w:rPr>
          <w:rFonts w:cs="Arial"/>
          <w:sz w:val="24"/>
          <w:szCs w:val="24"/>
        </w:rPr>
        <w:t xml:space="preserve">Indicado para procedimentos de curta duração e </w:t>
      </w:r>
      <w:proofErr w:type="gramStart"/>
      <w:r w:rsidRPr="008F79CE">
        <w:rPr>
          <w:rFonts w:cs="Arial"/>
          <w:sz w:val="24"/>
          <w:szCs w:val="24"/>
        </w:rPr>
        <w:t>não-cirúrgicos</w:t>
      </w:r>
      <w:proofErr w:type="gramEnd"/>
      <w:r w:rsidRPr="008F79CE">
        <w:rPr>
          <w:rFonts w:cs="Arial"/>
          <w:sz w:val="24"/>
          <w:szCs w:val="24"/>
        </w:rPr>
        <w:t xml:space="preserve">; procedimentos em </w:t>
      </w:r>
      <w:proofErr w:type="spellStart"/>
      <w:r w:rsidRPr="008F79CE">
        <w:rPr>
          <w:rFonts w:cs="Arial"/>
          <w:sz w:val="24"/>
          <w:szCs w:val="24"/>
        </w:rPr>
        <w:t>Odontopediatria</w:t>
      </w:r>
      <w:proofErr w:type="spellEnd"/>
      <w:r w:rsidRPr="008F79CE">
        <w:rPr>
          <w:rFonts w:cs="Arial"/>
          <w:sz w:val="24"/>
          <w:szCs w:val="24"/>
        </w:rPr>
        <w:t>; procedimentos em pacientes portadores de cardiopatias graves ou que tenham contraindicação de vasoconstritores; procedimentos em pacientes asmáticos, alérgicos a sulfitos e hipertensos não compensados; colocação de bandas ortodônticas.</w:t>
      </w:r>
    </w:p>
    <w:p w:rsidR="008F79CE" w:rsidRPr="008F79CE" w:rsidRDefault="008F79CE" w:rsidP="00A94ED6">
      <w:pPr>
        <w:rPr>
          <w:b/>
          <w:sz w:val="24"/>
          <w:szCs w:val="24"/>
        </w:rPr>
      </w:pPr>
    </w:p>
    <w:p w:rsidR="008F79CE" w:rsidRPr="008F79CE" w:rsidRDefault="008F79CE" w:rsidP="008F79CE">
      <w:pPr>
        <w:spacing w:before="120" w:after="120" w:line="240" w:lineRule="auto"/>
        <w:textAlignment w:val="baseline"/>
        <w:outlineLvl w:val="3"/>
        <w:rPr>
          <w:rFonts w:eastAsia="Times New Roman" w:cs="Arial"/>
          <w:b/>
          <w:bCs/>
          <w:sz w:val="24"/>
          <w:szCs w:val="24"/>
          <w:lang w:eastAsia="pt-BR"/>
        </w:rPr>
      </w:pPr>
      <w:r w:rsidRPr="008F79CE">
        <w:rPr>
          <w:rFonts w:eastAsia="Times New Roman" w:cs="Arial"/>
          <w:b/>
          <w:bCs/>
          <w:sz w:val="24"/>
          <w:szCs w:val="24"/>
          <w:lang w:eastAsia="pt-BR"/>
        </w:rPr>
        <w:t>Vantagens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Paraben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Free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>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Isento de sulfitos;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Permite melhor visualização do refluxo sanguíneo;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 xml:space="preserve">Maior conforto para o paciente – maior suavidade de deslizamento do êmbolo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siliconizado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>, minimizando a dor durante a injeção;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lastRenderedPageBreak/>
        <w:t>Total eficácia do produto durante todo o tempo de validade devido à ausência de porosidade do vidro;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Maior tempo de prateleira do produto;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Alto índice de sucesso anestésico;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Sem possibilidade de contaminação por polímeros, pois o vidro não se degrada;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 xml:space="preserve">Cada </w:t>
      </w:r>
      <w:proofErr w:type="spellStart"/>
      <w:r w:rsidRPr="008F79CE">
        <w:rPr>
          <w:rFonts w:eastAsia="Times New Roman" w:cs="Arial"/>
          <w:sz w:val="24"/>
          <w:szCs w:val="24"/>
          <w:lang w:eastAsia="pt-BR"/>
        </w:rPr>
        <w:t>tubete</w:t>
      </w:r>
      <w:proofErr w:type="spellEnd"/>
      <w:r w:rsidRPr="008F79CE">
        <w:rPr>
          <w:rFonts w:eastAsia="Times New Roman" w:cs="Arial"/>
          <w:sz w:val="24"/>
          <w:szCs w:val="24"/>
          <w:lang w:eastAsia="pt-BR"/>
        </w:rPr>
        <w:t xml:space="preserve"> é envolvido por um rótulo adesivo de segurança, que protege a cavidade oral em caso de quebra e que contém todas as especificações sobre anestésico;</w:t>
      </w:r>
    </w:p>
    <w:p w:rsidR="008F79CE" w:rsidRPr="008F79CE" w:rsidRDefault="008F79CE" w:rsidP="008F79CE">
      <w:pPr>
        <w:numPr>
          <w:ilvl w:val="0"/>
          <w:numId w:val="2"/>
        </w:numPr>
        <w:spacing w:before="60" w:after="60" w:line="240" w:lineRule="auto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8F79CE">
        <w:rPr>
          <w:rFonts w:eastAsia="Times New Roman" w:cs="Arial"/>
          <w:sz w:val="24"/>
          <w:szCs w:val="24"/>
          <w:lang w:eastAsia="pt-BR"/>
        </w:rPr>
        <w:t>Embalagem em blisters lacrados, minimizando a contaminação externa.</w:t>
      </w:r>
    </w:p>
    <w:p w:rsidR="008F79CE" w:rsidRPr="00A94ED6" w:rsidRDefault="008F79CE" w:rsidP="00A94ED6">
      <w:pPr>
        <w:rPr>
          <w:b/>
          <w:sz w:val="24"/>
          <w:szCs w:val="44"/>
        </w:rPr>
      </w:pPr>
    </w:p>
    <w:sectPr w:rsidR="008F79CE" w:rsidRPr="00A94E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D5283"/>
    <w:multiLevelType w:val="multilevel"/>
    <w:tmpl w:val="77AA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740976"/>
    <w:multiLevelType w:val="multilevel"/>
    <w:tmpl w:val="38CE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D6"/>
    <w:rsid w:val="008F79CE"/>
    <w:rsid w:val="00A94ED6"/>
    <w:rsid w:val="00EA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8F79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9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4ED6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rsid w:val="008F79C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F7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8F79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9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4ED6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rsid w:val="008F79C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F7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2</cp:revision>
  <dcterms:created xsi:type="dcterms:W3CDTF">2019-07-06T14:16:00Z</dcterms:created>
  <dcterms:modified xsi:type="dcterms:W3CDTF">2019-07-06T14:18:00Z</dcterms:modified>
</cp:coreProperties>
</file>